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01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5A4F" w14:paraId="0458A74E" w14:textId="77777777" w:rsidTr="002F5A4F">
        <w:trPr>
          <w:trHeight w:val="1629"/>
        </w:trPr>
        <w:tc>
          <w:tcPr>
            <w:tcW w:w="9016" w:type="dxa"/>
            <w:gridSpan w:val="2"/>
          </w:tcPr>
          <w:p w14:paraId="4379B340" w14:textId="5A24A0CC" w:rsidR="006E57F7" w:rsidRPr="006E57F7" w:rsidRDefault="006E57F7" w:rsidP="006E57F7">
            <w:pPr>
              <w:rPr>
                <w:rFonts w:ascii="Avenir Next LT Pro" w:hAnsi="Avenir Next LT Pro"/>
                <w:lang w:eastAsia="en-GB"/>
              </w:rPr>
            </w:pPr>
            <w:r w:rsidRPr="006E57F7">
              <w:rPr>
                <w:rFonts w:ascii="Avenir Next LT Pro" w:hAnsi="Avenir Next LT Pro"/>
                <w:color w:val="333333"/>
                <w:lang w:eastAsia="en-GB"/>
              </w:rPr>
              <w:t xml:space="preserve">Reach is all about helping </w:t>
            </w:r>
            <w:r>
              <w:rPr>
                <w:rFonts w:ascii="Avenir Next LT Pro" w:hAnsi="Avenir Next LT Pro"/>
                <w:color w:val="333333"/>
                <w:lang w:eastAsia="en-GB"/>
              </w:rPr>
              <w:t>Young People</w:t>
            </w:r>
            <w:r w:rsidRPr="006E57F7">
              <w:rPr>
                <w:rFonts w:ascii="Avenir Next LT Pro" w:hAnsi="Avenir Next LT Pro"/>
                <w:color w:val="333333"/>
                <w:lang w:eastAsia="en-GB"/>
              </w:rPr>
              <w:t xml:space="preserve"> with upper limb differences live lives without limits. But sometimes the two-handed world throws up barriers, and we need to find a way round them. That’s where the Reach </w:t>
            </w:r>
            <w:r>
              <w:rPr>
                <w:rFonts w:ascii="Avenir Next LT Pro" w:hAnsi="Avenir Next LT Pro"/>
                <w:color w:val="333333"/>
                <w:lang w:eastAsia="en-GB"/>
              </w:rPr>
              <w:t xml:space="preserve">Adaptation </w:t>
            </w:r>
            <w:r w:rsidRPr="006E57F7">
              <w:rPr>
                <w:rFonts w:ascii="Avenir Next LT Pro" w:hAnsi="Avenir Next LT Pro"/>
                <w:color w:val="333333"/>
                <w:lang w:eastAsia="en-GB"/>
              </w:rPr>
              <w:t>Bursary comes in</w:t>
            </w:r>
            <w:r w:rsidRPr="006E57F7">
              <w:rPr>
                <w:rFonts w:ascii="Avenir Next LT Pro" w:hAnsi="Avenir Next LT Pro"/>
                <w:lang w:eastAsia="en-GB"/>
              </w:rPr>
              <w:t xml:space="preserve"> </w:t>
            </w:r>
          </w:p>
          <w:p w14:paraId="4E6E9BB7" w14:textId="6F5FA63F" w:rsidR="002F5A4F" w:rsidRP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F5A4F" w14:paraId="22B166DE" w14:textId="77777777" w:rsidTr="001657C5">
        <w:trPr>
          <w:trHeight w:val="3743"/>
        </w:trPr>
        <w:tc>
          <w:tcPr>
            <w:tcW w:w="4508" w:type="dxa"/>
          </w:tcPr>
          <w:p w14:paraId="3812CFCE" w14:textId="77777777" w:rsidR="006E57F7" w:rsidRDefault="006E57F7" w:rsidP="002F5A4F">
            <w:pPr>
              <w:rPr>
                <w:rStyle w:val="oypena"/>
                <w:rFonts w:ascii="Avenir Next LT Pro" w:eastAsiaTheme="majorEastAsia" w:hAnsi="Avenir Next LT Pro"/>
                <w:sz w:val="22"/>
                <w:szCs w:val="22"/>
              </w:rPr>
            </w:pPr>
            <w:r w:rsidRPr="006E57F7">
              <w:rPr>
                <w:rStyle w:val="oypena"/>
                <w:rFonts w:ascii="Avenir Next LT Pro" w:eastAsiaTheme="majorEastAsia" w:hAnsi="Avenir Next LT Pro"/>
                <w:sz w:val="22"/>
                <w:szCs w:val="22"/>
              </w:rPr>
              <w:t>Reach’s mission is helping young people with upper limb differences live lives beyond limits.</w:t>
            </w:r>
          </w:p>
          <w:p w14:paraId="5E8D7AA3" w14:textId="77777777" w:rsidR="006E57F7" w:rsidRDefault="006E57F7" w:rsidP="002F5A4F">
            <w:pPr>
              <w:rPr>
                <w:rStyle w:val="oypena"/>
                <w:rFonts w:ascii="Avenir Next LT Pro" w:eastAsiaTheme="majorEastAsia" w:hAnsi="Avenir Next LT Pro"/>
                <w:sz w:val="22"/>
                <w:szCs w:val="22"/>
              </w:rPr>
            </w:pPr>
            <w:r w:rsidRPr="006E57F7">
              <w:rPr>
                <w:rStyle w:val="oypena"/>
                <w:rFonts w:ascii="Avenir Next LT Pro" w:eastAsiaTheme="majorEastAsia" w:hAnsi="Avenir Next LT Pro"/>
                <w:sz w:val="22"/>
                <w:szCs w:val="22"/>
              </w:rPr>
              <w:t xml:space="preserve">We run a small Adaptation Bursary, open to all Reach families, to help young people follow their aspirations. Bursary funding could contribute toward the cost of all sorts of things: a bespoke, instrument, sports equipment, additional training costs or car adaptation </w:t>
            </w:r>
          </w:p>
          <w:p w14:paraId="58171D6C" w14:textId="5018B2BA" w:rsidR="00BC46CF" w:rsidRPr="006E57F7" w:rsidRDefault="006E57F7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 w:rsidRPr="006E57F7">
              <w:rPr>
                <w:rStyle w:val="oypena"/>
                <w:rFonts w:ascii="Avenir Next LT Pro" w:eastAsiaTheme="majorEastAsia" w:hAnsi="Avenir Next LT Pro"/>
                <w:sz w:val="22"/>
                <w:szCs w:val="22"/>
              </w:rPr>
              <w:t>We don’t support costs of mechanical prosthetics; the pot simply isn’t big enough and most of the prosthetic makers have their own foundations/projects to help with affordability.</w:t>
            </w:r>
            <w:r w:rsidRPr="006E57F7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104182" w:rsidRPr="006E57F7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38B962EC" w14:textId="7DE02A59" w:rsidR="006E57F7" w:rsidRDefault="006E57F7" w:rsidP="006E57F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venir Next LT Pro" w:hAnsi="Avenir Next LT Pro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venir Next LT Pro" w:hAnsi="Avenir Next LT Pro"/>
                <w:color w:val="333333"/>
                <w:sz w:val="22"/>
                <w:szCs w:val="22"/>
                <w:lang w:eastAsia="en-GB"/>
              </w:rPr>
              <w:t>To Qualify for the Adaptation bursary -</w:t>
            </w:r>
          </w:p>
          <w:p w14:paraId="5BD67C38" w14:textId="77777777" w:rsidR="006E57F7" w:rsidRPr="006E57F7" w:rsidRDefault="006E57F7" w:rsidP="006E57F7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venir Next LT Pro" w:hAnsi="Avenir Next LT Pro"/>
                <w:color w:val="333333"/>
                <w:lang w:eastAsia="en-GB"/>
              </w:rPr>
            </w:pPr>
            <w:r w:rsidRPr="006E57F7">
              <w:rPr>
                <w:rFonts w:ascii="Avenir Next LT Pro" w:hAnsi="Avenir Next LT Pro"/>
                <w:color w:val="333333"/>
                <w:lang w:eastAsia="en-GB"/>
              </w:rPr>
              <w:t>You must be under 25 years old</w:t>
            </w:r>
          </w:p>
          <w:p w14:paraId="515CA4B7" w14:textId="03E74F36" w:rsidR="006E57F7" w:rsidRPr="006E57F7" w:rsidRDefault="006E57F7" w:rsidP="006E57F7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venir Next LT Pro" w:hAnsi="Avenir Next LT Pro"/>
                <w:color w:val="333333"/>
                <w:lang w:eastAsia="en-GB"/>
              </w:rPr>
            </w:pPr>
            <w:r w:rsidRPr="006E57F7">
              <w:rPr>
                <w:rFonts w:ascii="Avenir Next LT Pro" w:hAnsi="Avenir Next LT Pro"/>
                <w:color w:val="333333"/>
                <w:lang w:eastAsia="en-GB"/>
              </w:rPr>
              <w:t xml:space="preserve">Everyone on the Bursary Panel is keen to advance each applicant’s potential. If you would like some </w:t>
            </w:r>
            <w:proofErr w:type="gramStart"/>
            <w:r w:rsidRPr="006E57F7">
              <w:rPr>
                <w:rFonts w:ascii="Avenir Next LT Pro" w:hAnsi="Avenir Next LT Pro"/>
                <w:color w:val="333333"/>
                <w:lang w:eastAsia="en-GB"/>
              </w:rPr>
              <w:t>assistance</w:t>
            </w:r>
            <w:proofErr w:type="gramEnd"/>
            <w:r w:rsidRPr="006E57F7">
              <w:rPr>
                <w:rFonts w:ascii="Avenir Next LT Pro" w:hAnsi="Avenir Next LT Pro"/>
                <w:color w:val="333333"/>
                <w:lang w:eastAsia="en-GB"/>
              </w:rPr>
              <w:t xml:space="preserve"> don’t be put off applying, the office and panel members are very happy to give advice. The process is </w:t>
            </w:r>
            <w:proofErr w:type="gramStart"/>
            <w:r w:rsidRPr="006E57F7">
              <w:rPr>
                <w:rFonts w:ascii="Avenir Next LT Pro" w:hAnsi="Avenir Next LT Pro"/>
                <w:color w:val="333333"/>
                <w:lang w:eastAsia="en-GB"/>
              </w:rPr>
              <w:t>straightforward</w:t>
            </w:r>
            <w:proofErr w:type="gramEnd"/>
            <w:r w:rsidRPr="006E57F7">
              <w:rPr>
                <w:rFonts w:ascii="Avenir Next LT Pro" w:hAnsi="Avenir Next LT Pro"/>
                <w:color w:val="333333"/>
                <w:lang w:eastAsia="en-GB"/>
              </w:rPr>
              <w:t xml:space="preserve"> and the results are rewarding both for the applicant and for Reach!</w:t>
            </w:r>
          </w:p>
          <w:p w14:paraId="6A27D599" w14:textId="77777777" w:rsidR="006E57F7" w:rsidRPr="006E57F7" w:rsidRDefault="006E57F7" w:rsidP="006E57F7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venir Next LT Pro" w:hAnsi="Avenir Next LT Pro"/>
                <w:color w:val="333333"/>
                <w:lang w:eastAsia="en-GB"/>
              </w:rPr>
            </w:pPr>
            <w:r w:rsidRPr="006E57F7">
              <w:rPr>
                <w:rFonts w:ascii="Avenir Next LT Pro" w:hAnsi="Avenir Next LT Pro"/>
                <w:color w:val="333333"/>
                <w:lang w:eastAsia="en-GB"/>
              </w:rPr>
              <w:t>Maximum amount is £2,000</w:t>
            </w:r>
          </w:p>
          <w:p w14:paraId="09D09A05" w14:textId="633470C9" w:rsidR="002F5A4F" w:rsidRPr="006E57F7" w:rsidRDefault="002F5A4F" w:rsidP="006E57F7">
            <w:pPr>
              <w:rPr>
                <w:rFonts w:ascii="Avenir Next LT Pro" w:hAnsi="Avenir Next LT Pro"/>
              </w:rPr>
            </w:pPr>
          </w:p>
        </w:tc>
      </w:tr>
    </w:tbl>
    <w:p w14:paraId="0AB93767" w14:textId="784D77D8" w:rsidR="00A4660D" w:rsidRDefault="00A4660D"/>
    <w:p w14:paraId="4A7EBD51" w14:textId="77777777" w:rsidR="00304FC9" w:rsidRDefault="00304FC9"/>
    <w:p w14:paraId="3B066D67" w14:textId="0C66E18D" w:rsidR="00304FC9" w:rsidRPr="006E57F7" w:rsidRDefault="00304FC9">
      <w:pPr>
        <w:rPr>
          <w:rFonts w:ascii="Avenir Next LT Pro" w:hAnsi="Avenir Next LT Pro" w:cs="Arial"/>
          <w:b/>
          <w:bCs/>
          <w:sz w:val="36"/>
          <w:szCs w:val="36"/>
        </w:rPr>
      </w:pPr>
      <w:r w:rsidRPr="006E57F7">
        <w:rPr>
          <w:rFonts w:ascii="Avenir Next LT Pro" w:hAnsi="Avenir Next LT Pro" w:cs="Arial"/>
          <w:b/>
          <w:bCs/>
          <w:sz w:val="36"/>
          <w:szCs w:val="36"/>
        </w:rPr>
        <w:t>Reach A</w:t>
      </w:r>
      <w:r w:rsidR="006E57F7" w:rsidRPr="006E57F7">
        <w:rPr>
          <w:rFonts w:ascii="Avenir Next LT Pro" w:hAnsi="Avenir Next LT Pro" w:cs="Arial"/>
          <w:b/>
          <w:bCs/>
          <w:sz w:val="36"/>
          <w:szCs w:val="36"/>
        </w:rPr>
        <w:t>daptation</w:t>
      </w:r>
      <w:r w:rsidRPr="006E57F7">
        <w:rPr>
          <w:rFonts w:ascii="Avenir Next LT Pro" w:hAnsi="Avenir Next LT Pro" w:cs="Arial"/>
          <w:b/>
          <w:bCs/>
          <w:sz w:val="36"/>
          <w:szCs w:val="36"/>
        </w:rPr>
        <w:t xml:space="preserve"> Bursary</w:t>
      </w:r>
    </w:p>
    <w:p w14:paraId="7DD95881" w14:textId="77777777" w:rsidR="006E57F7" w:rsidRDefault="006E57F7">
      <w:pPr>
        <w:rPr>
          <w:rFonts w:ascii="Avenir Next LT Pro" w:hAnsi="Avenir Next LT Pro" w:cs="Arial"/>
          <w:sz w:val="36"/>
          <w:szCs w:val="36"/>
        </w:rPr>
      </w:pPr>
    </w:p>
    <w:p w14:paraId="0C7CC0CF" w14:textId="77777777" w:rsidR="006E57F7" w:rsidRDefault="006E57F7">
      <w:pPr>
        <w:rPr>
          <w:rFonts w:ascii="Avenir Next LT Pro" w:hAnsi="Avenir Next LT Pro" w:cs="Arial"/>
          <w:sz w:val="36"/>
          <w:szCs w:val="36"/>
        </w:rPr>
      </w:pPr>
    </w:p>
    <w:p w14:paraId="6857E9D6" w14:textId="77777777" w:rsidR="006E57F7" w:rsidRPr="006E57F7" w:rsidRDefault="006E57F7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1DE623B7" w14:textId="77777777" w:rsidR="006E57F7" w:rsidRDefault="006E57F7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52E558D5" w14:textId="28FD7109" w:rsidR="006E57F7" w:rsidRPr="006E57F7" w:rsidRDefault="006E57F7">
      <w:pPr>
        <w:rPr>
          <w:rFonts w:ascii="Avenir Next LT Pro" w:hAnsi="Avenir Next LT Pro" w:cs="Arial"/>
          <w:b/>
          <w:bCs/>
          <w:sz w:val="36"/>
          <w:szCs w:val="36"/>
        </w:rPr>
      </w:pPr>
      <w:r w:rsidRPr="006E57F7">
        <w:rPr>
          <w:rFonts w:ascii="Avenir Next LT Pro" w:hAnsi="Avenir Next LT Pro" w:cs="Arial"/>
          <w:b/>
          <w:bCs/>
          <w:sz w:val="36"/>
          <w:szCs w:val="36"/>
        </w:rPr>
        <w:t>Terms &amp; Conditions</w:t>
      </w:r>
    </w:p>
    <w:p w14:paraId="2F0A8282" w14:textId="77777777" w:rsidR="006E57F7" w:rsidRPr="006E57F7" w:rsidRDefault="006E57F7">
      <w:pPr>
        <w:rPr>
          <w:rFonts w:ascii="Avenir Next LT Pro" w:hAnsi="Avenir Next LT Pro" w:cs="Arial"/>
          <w:sz w:val="36"/>
          <w:szCs w:val="36"/>
        </w:rPr>
      </w:pPr>
    </w:p>
    <w:p w14:paraId="0C4844C7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Bursary Panels decision is final. </w:t>
      </w:r>
    </w:p>
    <w:p w14:paraId="4B834B74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The Panel meet four times a year to discuss Bursary Applications (see website for dates) </w:t>
      </w:r>
    </w:p>
    <w:p w14:paraId="06F26DB9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Please ensure to get your application to us in plenty of time in case the panel would like more information ahead of the meeting to help them decide. </w:t>
      </w:r>
    </w:p>
    <w:p w14:paraId="1D67F7C0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Deadline for applications: Two weeks prior to Bursary Panel Meetings. </w:t>
      </w:r>
    </w:p>
    <w:p w14:paraId="3898344D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Successful applicants will be expected to report back to Reach immediately the grant has been spent, please supply a progress report and photos to celebrate and help promote the bursary to other members.</w:t>
      </w:r>
    </w:p>
    <w:p w14:paraId="421B469D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Grants will usually be paid by cheque, BACS, or a 3</w:t>
      </w:r>
      <w:r w:rsidRPr="006E57F7">
        <w:rPr>
          <w:rFonts w:ascii="Avenir Next LT Pro" w:eastAsia="Arial" w:hAnsi="Avenir Next LT Pro" w:cs="Avenir Regular"/>
          <w:vertAlign w:val="superscript"/>
        </w:rPr>
        <w:t>rd</w:t>
      </w:r>
      <w:r w:rsidRPr="006E57F7">
        <w:rPr>
          <w:rFonts w:ascii="Avenir Next LT Pro" w:eastAsia="Arial" w:hAnsi="Avenir Next LT Pro" w:cs="Avenir Regular"/>
        </w:rPr>
        <w:t xml:space="preserve"> party via invoice.  Proof of expenditure will be required. </w:t>
      </w:r>
    </w:p>
    <w:p w14:paraId="2B70CA4E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eastAsia="Arial Unicode MS" w:hAnsi="Avenir Next LT Pro" w:cs="Avenir Regular"/>
        </w:rPr>
      </w:pPr>
      <w:r w:rsidRPr="006E57F7">
        <w:rPr>
          <w:rFonts w:ascii="Avenir Next LT Pro" w:eastAsia="Arial Unicode MS" w:hAnsi="Avenir Next LT Pro" w:cs="Avenir Regular"/>
        </w:rPr>
        <w:lastRenderedPageBreak/>
        <w:t>It is unlikely that 100% of the amount request will be awarded, please ensure you can meet the remainder of the costs and explain how in section 4.</w:t>
      </w:r>
    </w:p>
    <w:p w14:paraId="210DE0F0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eastAsia="Calibri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grant should usually be spent within 6 months of receipt. </w:t>
      </w:r>
    </w:p>
    <w:p w14:paraId="2C7B1F6B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grant is not transferrable and must be used for the purpose stated in the application. </w:t>
      </w:r>
    </w:p>
    <w:p w14:paraId="0A71299C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Publicity is not a requirement of the grant but applicants who are happy for Reach to use them in publicity or undertake their own publicity mentioning Reach are very welcome.</w:t>
      </w:r>
    </w:p>
    <w:p w14:paraId="32560211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Bursary Panel may direct applications to other grant giving bodies if they are deemed to be more suitable. </w:t>
      </w:r>
    </w:p>
    <w:p w14:paraId="289A0917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Applications are only accepted from current members of Reach, with at least 1 year’s membership.</w:t>
      </w:r>
    </w:p>
    <w:p w14:paraId="385B72B3" w14:textId="77777777" w:rsidR="006E57F7" w:rsidRPr="006E57F7" w:rsidRDefault="006E57F7" w:rsidP="006E57F7">
      <w:pPr>
        <w:pStyle w:val="ListParagraph"/>
        <w:numPr>
          <w:ilvl w:val="0"/>
          <w:numId w:val="7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Thank you for applying, please send your completed form to the address below or email to </w:t>
      </w:r>
      <w:hyperlink r:id="rId10" w:history="1">
        <w:r w:rsidRPr="006E57F7">
          <w:rPr>
            <w:rStyle w:val="Hyperlink"/>
            <w:rFonts w:ascii="Avenir Next LT Pro" w:eastAsia="Arial" w:hAnsi="Avenir Next LT Pro" w:cs="Avenir Regular"/>
          </w:rPr>
          <w:t>reach@reach.org.uk</w:t>
        </w:r>
      </w:hyperlink>
    </w:p>
    <w:p w14:paraId="7124F6AA" w14:textId="77777777" w:rsidR="006E57F7" w:rsidRPr="00304FC9" w:rsidRDefault="006E57F7">
      <w:pPr>
        <w:rPr>
          <w:rFonts w:ascii="Avenir Next LT Pro" w:hAnsi="Avenir Next LT Pro" w:cs="Arial"/>
          <w:sz w:val="36"/>
          <w:szCs w:val="36"/>
        </w:rPr>
      </w:pPr>
    </w:p>
    <w:sectPr w:rsidR="006E57F7" w:rsidRPr="00304FC9" w:rsidSect="00595A0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731D" w14:textId="77777777" w:rsidR="00A64582" w:rsidRDefault="00A64582" w:rsidP="002F5A4F">
      <w:r>
        <w:separator/>
      </w:r>
    </w:p>
  </w:endnote>
  <w:endnote w:type="continuationSeparator" w:id="0">
    <w:p w14:paraId="4AE3EAC9" w14:textId="77777777" w:rsidR="00A64582" w:rsidRDefault="00A64582" w:rsidP="002F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egular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global">
    <w:panose1 w:val="02000800000000000000"/>
    <w:charset w:val="00"/>
    <w:family w:val="auto"/>
    <w:pitch w:val="variable"/>
    <w:sig w:usb0="800002A7" w:usb1="5000004A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A389" w14:textId="7D683721" w:rsidR="00304FC9" w:rsidRPr="00735262" w:rsidRDefault="00304FC9" w:rsidP="00735262">
    <w:pPr>
      <w:rPr>
        <w:rFonts w:ascii="Avenir Next LT Pro" w:hAnsi="Avenir Next LT Pro"/>
        <w:color w:val="000000"/>
        <w:sz w:val="20"/>
        <w:szCs w:val="20"/>
      </w:rPr>
    </w:pPr>
    <w:r w:rsidRPr="00735262">
      <w:rPr>
        <w:rFonts w:ascii="Avenir Next LT Pro" w:hAnsi="Avenir Next LT Pro"/>
        <w:color w:val="000000"/>
        <w:sz w:val="20"/>
        <w:szCs w:val="20"/>
      </w:rPr>
      <w:t>Reach Charity Ltd Company Limited By Guarantee. Registered In England. Registered Office.</w:t>
    </w:r>
    <w:r w:rsidR="00735262" w:rsidRPr="00735262">
      <w:rPr>
        <w:rFonts w:ascii="Avenir Next LT Pro" w:hAnsi="Avenir Next LT Pro"/>
        <w:color w:val="000000"/>
        <w:sz w:val="20"/>
        <w:szCs w:val="20"/>
      </w:rPr>
      <w:t xml:space="preserve"> </w:t>
    </w:r>
    <w:r w:rsidR="00735262" w:rsidRPr="00735262">
      <w:rPr>
        <w:rFonts w:ascii="Avenir Next LT Pro" w:hAnsi="Avenir Next LT Pro"/>
        <w:color w:val="000000"/>
        <w:sz w:val="20"/>
        <w:szCs w:val="20"/>
      </w:rPr>
      <w:t>Office No 4, The Library Rooms, 1st Floor, 59 High Street, Totnes, TQ9 5PB.</w:t>
    </w:r>
    <w:r w:rsidRPr="00735262">
      <w:rPr>
        <w:rFonts w:ascii="Avenir Next LT Pro" w:hAnsi="Avenir Next LT Pro"/>
        <w:color w:val="000000"/>
        <w:sz w:val="20"/>
        <w:szCs w:val="20"/>
      </w:rPr>
      <w:t xml:space="preserve"> Registration No. 07054164 | Registered Charity In England &amp; Wales No. 1134544 | Registered Charity In Scotland No. Sc049805</w:t>
    </w:r>
  </w:p>
  <w:p w14:paraId="692C0B0A" w14:textId="7D669F27" w:rsidR="002F5A4F" w:rsidRPr="00304FC9" w:rsidRDefault="002F5A4F" w:rsidP="0030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0ADE" w14:textId="77777777" w:rsidR="00A64582" w:rsidRDefault="00A64582" w:rsidP="002F5A4F">
      <w:r>
        <w:separator/>
      </w:r>
    </w:p>
  </w:footnote>
  <w:footnote w:type="continuationSeparator" w:id="0">
    <w:p w14:paraId="2D16B1B9" w14:textId="77777777" w:rsidR="00A64582" w:rsidRDefault="00A64582" w:rsidP="002F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12FC" w14:textId="7A778BC0" w:rsidR="002F5A4F" w:rsidRPr="002F5A4F" w:rsidRDefault="002F5A4F" w:rsidP="002F5A4F">
    <w:pPr>
      <w:rPr>
        <w:rFonts w:ascii="inglobal" w:hAnsi="inglobal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5DC22" wp14:editId="3A88FB6B">
          <wp:simplePos x="0" y="0"/>
          <wp:positionH relativeFrom="column">
            <wp:posOffset>4284980</wp:posOffset>
          </wp:positionH>
          <wp:positionV relativeFrom="paragraph">
            <wp:posOffset>-449580</wp:posOffset>
          </wp:positionV>
          <wp:extent cx="1924685" cy="1339850"/>
          <wp:effectExtent l="0" t="0" r="0" b="0"/>
          <wp:wrapTight wrapText="bothSides">
            <wp:wrapPolygon edited="0">
              <wp:start x="0" y="0"/>
              <wp:lineTo x="0" y="21191"/>
              <wp:lineTo x="21379" y="21191"/>
              <wp:lineTo x="21379" y="0"/>
              <wp:lineTo x="0" y="0"/>
            </wp:wrapPolygon>
          </wp:wrapTight>
          <wp:docPr id="635737258" name="Picture 1" descr="A logo with orang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37258" name="Picture 1" descr="A logo with orang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A4F">
      <w:rPr>
        <w:rFonts w:ascii="inglobal" w:hAnsi="inglobal"/>
        <w:sz w:val="44"/>
        <w:szCs w:val="44"/>
      </w:rPr>
      <w:t xml:space="preserve"> </w:t>
    </w:r>
  </w:p>
  <w:p w14:paraId="4B52F3FD" w14:textId="163A0C9F" w:rsidR="002F5A4F" w:rsidRPr="002F5A4F" w:rsidRDefault="002F5A4F" w:rsidP="002F5A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45C4"/>
    <w:multiLevelType w:val="hybridMultilevel"/>
    <w:tmpl w:val="838C11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9E8"/>
    <w:multiLevelType w:val="hybridMultilevel"/>
    <w:tmpl w:val="33E0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259"/>
    <w:multiLevelType w:val="hybridMultilevel"/>
    <w:tmpl w:val="9B0A4D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7FAD"/>
    <w:multiLevelType w:val="hybridMultilevel"/>
    <w:tmpl w:val="EC6A4C34"/>
    <w:lvl w:ilvl="0" w:tplc="AAD6436C">
      <w:start w:val="12"/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03D5"/>
    <w:multiLevelType w:val="hybridMultilevel"/>
    <w:tmpl w:val="65C6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73DEF"/>
    <w:multiLevelType w:val="multilevel"/>
    <w:tmpl w:val="750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D50B1"/>
    <w:multiLevelType w:val="hybridMultilevel"/>
    <w:tmpl w:val="091A9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18745">
    <w:abstractNumId w:val="1"/>
  </w:num>
  <w:num w:numId="2" w16cid:durableId="1841311128">
    <w:abstractNumId w:val="2"/>
  </w:num>
  <w:num w:numId="3" w16cid:durableId="721758785">
    <w:abstractNumId w:val="0"/>
  </w:num>
  <w:num w:numId="4" w16cid:durableId="1674067272">
    <w:abstractNumId w:val="3"/>
  </w:num>
  <w:num w:numId="5" w16cid:durableId="15450246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25030451">
    <w:abstractNumId w:val="4"/>
  </w:num>
  <w:num w:numId="7" w16cid:durableId="767043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4F"/>
    <w:rsid w:val="000F6076"/>
    <w:rsid w:val="00100B23"/>
    <w:rsid w:val="00104182"/>
    <w:rsid w:val="001657C5"/>
    <w:rsid w:val="00271F5C"/>
    <w:rsid w:val="002F5A4F"/>
    <w:rsid w:val="00304FC9"/>
    <w:rsid w:val="003E0BB2"/>
    <w:rsid w:val="00415FE3"/>
    <w:rsid w:val="004E5A40"/>
    <w:rsid w:val="00595A06"/>
    <w:rsid w:val="00603670"/>
    <w:rsid w:val="006E57F7"/>
    <w:rsid w:val="00731E54"/>
    <w:rsid w:val="00735262"/>
    <w:rsid w:val="00756E50"/>
    <w:rsid w:val="009F02A6"/>
    <w:rsid w:val="00A03B4E"/>
    <w:rsid w:val="00A10949"/>
    <w:rsid w:val="00A27C2F"/>
    <w:rsid w:val="00A4660D"/>
    <w:rsid w:val="00A64582"/>
    <w:rsid w:val="00AE498C"/>
    <w:rsid w:val="00AF1C41"/>
    <w:rsid w:val="00B43191"/>
    <w:rsid w:val="00B90C74"/>
    <w:rsid w:val="00BC46CF"/>
    <w:rsid w:val="00D00A06"/>
    <w:rsid w:val="00D67CF8"/>
    <w:rsid w:val="00E41EF9"/>
    <w:rsid w:val="00E7287F"/>
    <w:rsid w:val="00F001FE"/>
    <w:rsid w:val="00F4732A"/>
    <w:rsid w:val="00FA6842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D26E8"/>
  <w15:chartTrackingRefBased/>
  <w15:docId w15:val="{34B15433-898A-4F25-9F4A-729D3BB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A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A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A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A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A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A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A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A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A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5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A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5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A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F5A4F"/>
  </w:style>
  <w:style w:type="paragraph" w:styleId="Footer">
    <w:name w:val="footer"/>
    <w:basedOn w:val="Normal"/>
    <w:link w:val="FooterChar"/>
    <w:uiPriority w:val="99"/>
    <w:unhideWhenUsed/>
    <w:rsid w:val="002F5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F5A4F"/>
  </w:style>
  <w:style w:type="paragraph" w:customStyle="1" w:styleId="xmsonormal">
    <w:name w:val="x_msonormal"/>
    <w:basedOn w:val="Normal"/>
    <w:rsid w:val="00304FC9"/>
    <w:rPr>
      <w:rFonts w:ascii="Calibri" w:eastAsiaTheme="minorHAnsi" w:hAnsi="Calibri" w:cs="Calibri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F7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7F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57F7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57F7"/>
    <w:rPr>
      <w:color w:val="467886" w:themeColor="hyperlink"/>
      <w:u w:val="single"/>
    </w:rPr>
  </w:style>
  <w:style w:type="character" w:customStyle="1" w:styleId="oypena">
    <w:name w:val="oypena"/>
    <w:basedOn w:val="DefaultParagraphFont"/>
    <w:rsid w:val="006E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ach@reac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ee841-1cd2-4529-82e0-3f3b49a335c3"/>
    <lcf76f155ced4ddcb4097134ff3c332f xmlns="784d5452-a02a-45d5-9d90-8557c42fc8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794F5B3228E41870F872E16C74977" ma:contentTypeVersion="15" ma:contentTypeDescription="Create a new document." ma:contentTypeScope="" ma:versionID="86d91d96fc54c217811714e49bf677bb">
  <xsd:schema xmlns:xsd="http://www.w3.org/2001/XMLSchema" xmlns:xs="http://www.w3.org/2001/XMLSchema" xmlns:p="http://schemas.microsoft.com/office/2006/metadata/properties" xmlns:ns2="784d5452-a02a-45d5-9d90-8557c42fc86d" xmlns:ns3="d3bee841-1cd2-4529-82e0-3f3b49a335c3" targetNamespace="http://schemas.microsoft.com/office/2006/metadata/properties" ma:root="true" ma:fieldsID="d1535c742cc35f647245b80df738b62c" ns2:_="" ns3:_="">
    <xsd:import namespace="784d5452-a02a-45d5-9d90-8557c42fc86d"/>
    <xsd:import namespace="d3bee841-1cd2-4529-82e0-3f3b49a33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5452-a02a-45d5-9d90-8557c42fc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5eb3d-6433-4380-8454-027756fe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e841-1cd2-4529-82e0-3f3b49a33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a46917-7e91-47da-8797-d26357242785}" ma:internalName="TaxCatchAll" ma:showField="CatchAllData" ma:web="d3bee841-1cd2-4529-82e0-3f3b49a33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5BED4-59D4-4259-8723-F07FF8A5B86F}">
  <ds:schemaRefs>
    <ds:schemaRef ds:uri="http://schemas.microsoft.com/office/2006/metadata/properties"/>
    <ds:schemaRef ds:uri="http://schemas.microsoft.com/office/infopath/2007/PartnerControls"/>
    <ds:schemaRef ds:uri="d3bee841-1cd2-4529-82e0-3f3b49a335c3"/>
    <ds:schemaRef ds:uri="784d5452-a02a-45d5-9d90-8557c42fc86d"/>
  </ds:schemaRefs>
</ds:datastoreItem>
</file>

<file path=customXml/itemProps2.xml><?xml version="1.0" encoding="utf-8"?>
<ds:datastoreItem xmlns:ds="http://schemas.openxmlformats.org/officeDocument/2006/customXml" ds:itemID="{0D51AB22-A0B6-45D7-A2D7-D9002D1EB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AA17E-FABC-41B4-921F-B48C93F4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d5452-a02a-45d5-9d90-8557c42fc86d"/>
    <ds:schemaRef ds:uri="d3bee841-1cd2-4529-82e0-3f3b49a33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Blackburn</dc:creator>
  <cp:keywords/>
  <dc:description/>
  <cp:lastModifiedBy>Ashley Blackburn</cp:lastModifiedBy>
  <cp:revision>3</cp:revision>
  <dcterms:created xsi:type="dcterms:W3CDTF">2024-07-30T16:25:00Z</dcterms:created>
  <dcterms:modified xsi:type="dcterms:W3CDTF">2024-07-30T16:36:00Z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0x0101008AC794F5B3228E41870F872E16C74977</vt:lpwstr>
  </property>
</Properties>
</file>