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01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5A4F" w14:paraId="0458A74E" w14:textId="77777777" w:rsidTr="002F5A4F">
        <w:trPr>
          <w:trHeight w:val="1629"/>
        </w:trPr>
        <w:tc>
          <w:tcPr>
            <w:tcW w:w="9016" w:type="dxa"/>
            <w:gridSpan w:val="2"/>
          </w:tcPr>
          <w:p w14:paraId="5702CA79" w14:textId="77777777" w:rsidR="002F5A4F" w:rsidRDefault="002F5A4F" w:rsidP="002F5A4F">
            <w:pPr>
              <w:rPr>
                <w:rFonts w:ascii="Avenir Next LT Pro" w:hAnsi="Avenir Next LT Pro"/>
                <w:sz w:val="22"/>
                <w:szCs w:val="22"/>
              </w:rPr>
            </w:pPr>
            <w:r w:rsidRPr="002F5A4F">
              <w:rPr>
                <w:rFonts w:ascii="Avenir Next LT Pro" w:hAnsi="Avenir Next LT Pro"/>
                <w:sz w:val="22"/>
                <w:szCs w:val="22"/>
              </w:rPr>
              <w:t>Each year we run events for Reach children and their families e.g. RAW (Reach Activity Week), AFW (Annual Family Weekend.</w:t>
            </w:r>
          </w:p>
          <w:p w14:paraId="5E2F7906" w14:textId="77777777" w:rsidR="002F5A4F" w:rsidRPr="002F5A4F" w:rsidRDefault="002F5A4F" w:rsidP="002F5A4F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E6E9BB7" w14:textId="1EF0DBEF" w:rsidR="002F5A4F" w:rsidRPr="002F5A4F" w:rsidRDefault="002F5A4F" w:rsidP="002F5A4F">
            <w:pPr>
              <w:rPr>
                <w:rFonts w:ascii="Avenir Next LT Pro" w:hAnsi="Avenir Next LT Pro"/>
                <w:sz w:val="22"/>
                <w:szCs w:val="22"/>
              </w:rPr>
            </w:pPr>
            <w:r w:rsidRPr="002F5A4F">
              <w:rPr>
                <w:rFonts w:ascii="Avenir Next LT Pro" w:hAnsi="Avenir Next LT Pro"/>
                <w:sz w:val="22"/>
                <w:szCs w:val="22"/>
              </w:rPr>
              <w:t>These activities are heavily subsidised by Reach however there is a charge made to participating families that may make the events for some families out of reach.</w:t>
            </w:r>
          </w:p>
        </w:tc>
      </w:tr>
      <w:tr w:rsidR="002F5A4F" w14:paraId="22B166DE" w14:textId="77777777" w:rsidTr="001657C5">
        <w:trPr>
          <w:trHeight w:val="3743"/>
        </w:trPr>
        <w:tc>
          <w:tcPr>
            <w:tcW w:w="4508" w:type="dxa"/>
          </w:tcPr>
          <w:p w14:paraId="7D7A9325" w14:textId="77777777" w:rsidR="002F5A4F" w:rsidRDefault="002F5A4F" w:rsidP="002F5A4F">
            <w:pPr>
              <w:rPr>
                <w:rFonts w:ascii="Avenir Next LT Pro" w:hAnsi="Avenir Next LT Pro"/>
                <w:sz w:val="22"/>
                <w:szCs w:val="22"/>
              </w:rPr>
            </w:pPr>
            <w:r w:rsidRPr="002F5A4F">
              <w:rPr>
                <w:rFonts w:ascii="Avenir Next LT Pro" w:hAnsi="Avenir Next LT Pro"/>
                <w:sz w:val="22"/>
                <w:szCs w:val="22"/>
              </w:rPr>
              <w:t>We have designated a small amount of our annual budget, £5,000 to enable access to these activities in this instance.</w:t>
            </w:r>
          </w:p>
          <w:p w14:paraId="6808E48B" w14:textId="77777777" w:rsidR="002F5A4F" w:rsidRDefault="002F5A4F" w:rsidP="002F5A4F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36198EE" w14:textId="062ED9AF" w:rsidR="002F5A4F" w:rsidRPr="002F5A4F" w:rsidRDefault="002F5A4F" w:rsidP="002F5A4F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Please note that </w:t>
            </w:r>
            <w:r w:rsidR="001657C5">
              <w:rPr>
                <w:rFonts w:ascii="Avenir Next LT Pro" w:hAnsi="Avenir Next LT Pro"/>
                <w:sz w:val="22"/>
                <w:szCs w:val="22"/>
              </w:rPr>
              <w:t xml:space="preserve">in 2024 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the Activity Bursary is for </w:t>
            </w:r>
            <w:r w:rsidR="001657C5">
              <w:rPr>
                <w:rFonts w:ascii="Avenir Next LT Pro" w:hAnsi="Avenir Next LT Pro"/>
                <w:sz w:val="22"/>
                <w:szCs w:val="22"/>
              </w:rPr>
              <w:t>families whose Reach children are age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 0-18yrs</w:t>
            </w:r>
            <w:r w:rsidR="001657C5">
              <w:rPr>
                <w:rFonts w:ascii="Avenir Next LT Pro" w:hAnsi="Avenir Next LT Pro"/>
                <w:sz w:val="22"/>
                <w:szCs w:val="22"/>
              </w:rPr>
              <w:t xml:space="preserve"> only. </w:t>
            </w:r>
          </w:p>
          <w:p w14:paraId="624875B0" w14:textId="77777777" w:rsidR="002F5A4F" w:rsidRPr="002F5A4F" w:rsidRDefault="002F5A4F" w:rsidP="002F5A4F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A0E8900" w14:textId="40369254" w:rsidR="002F5A4F" w:rsidRDefault="002F5A4F" w:rsidP="002F5A4F">
            <w:pPr>
              <w:rPr>
                <w:rFonts w:ascii="Avenir Next LT Pro" w:hAnsi="Avenir Next LT Pro"/>
                <w:sz w:val="22"/>
                <w:szCs w:val="22"/>
              </w:rPr>
            </w:pPr>
            <w:r w:rsidRPr="002F5A4F">
              <w:rPr>
                <w:rFonts w:ascii="Avenir Next LT Pro" w:hAnsi="Avenir Next LT Pro"/>
                <w:sz w:val="22"/>
                <w:szCs w:val="22"/>
              </w:rPr>
              <w:t>For your application to be considered, you must fit at least one of the following criteria’s</w:t>
            </w:r>
            <w:r w:rsidR="00A10949">
              <w:rPr>
                <w:rFonts w:ascii="Avenir Next LT Pro" w:hAnsi="Avenir Next LT Pro"/>
                <w:sz w:val="22"/>
                <w:szCs w:val="22"/>
              </w:rPr>
              <w:t xml:space="preserve">: </w:t>
            </w:r>
          </w:p>
          <w:p w14:paraId="2EC16D46" w14:textId="77777777" w:rsidR="001657C5" w:rsidRDefault="001657C5" w:rsidP="002F5A4F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D6674AC" w14:textId="7E705E6D" w:rsidR="001657C5" w:rsidRDefault="00A10949" w:rsidP="002F5A4F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As part of the application process, we would</w:t>
            </w:r>
            <w:r w:rsidR="00F001FE">
              <w:rPr>
                <w:rFonts w:ascii="Avenir Next LT Pro" w:hAnsi="Avenir Next LT Pro"/>
                <w:sz w:val="22"/>
                <w:szCs w:val="22"/>
              </w:rPr>
              <w:t xml:space="preserve"> also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 like to understand why attendance is important </w:t>
            </w:r>
            <w:r w:rsidR="00B90C74">
              <w:rPr>
                <w:rFonts w:ascii="Avenir Next LT Pro" w:hAnsi="Avenir Next LT Pro"/>
                <w:sz w:val="22"/>
                <w:szCs w:val="22"/>
              </w:rPr>
              <w:t>for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 you</w:t>
            </w:r>
            <w:r w:rsidR="009F02A6">
              <w:rPr>
                <w:rFonts w:ascii="Avenir Next LT Pro" w:hAnsi="Avenir Next LT Pro"/>
                <w:sz w:val="22"/>
                <w:szCs w:val="22"/>
              </w:rPr>
              <w:t xml:space="preserve"> as a family</w:t>
            </w:r>
            <w:r w:rsidR="00D00A06">
              <w:rPr>
                <w:rFonts w:ascii="Avenir Next LT Pro" w:hAnsi="Avenir Next LT Pro"/>
                <w:sz w:val="22"/>
                <w:szCs w:val="22"/>
              </w:rPr>
              <w:t>/Reach member</w:t>
            </w:r>
            <w:r w:rsidR="00603670">
              <w:rPr>
                <w:rFonts w:ascii="Avenir Next LT Pro" w:hAnsi="Avenir Next LT Pro"/>
                <w:sz w:val="22"/>
                <w:szCs w:val="22"/>
              </w:rPr>
              <w:t xml:space="preserve"> at this time</w:t>
            </w:r>
            <w:r w:rsidR="00100B23">
              <w:rPr>
                <w:rFonts w:ascii="Avenir Next LT Pro" w:hAnsi="Avenir Next LT Pro"/>
                <w:sz w:val="22"/>
                <w:szCs w:val="22"/>
              </w:rPr>
              <w:t xml:space="preserve">. </w:t>
            </w:r>
            <w:r w:rsidR="00AE498C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</w:p>
          <w:p w14:paraId="58171D6C" w14:textId="7A785FFB" w:rsidR="00BC46CF" w:rsidRPr="002F5A4F" w:rsidRDefault="00104182" w:rsidP="002F5A4F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</w:tcPr>
          <w:p w14:paraId="3FB6EA14" w14:textId="77777777" w:rsidR="002F5A4F" w:rsidRPr="002F5A4F" w:rsidRDefault="002F5A4F" w:rsidP="002F5A4F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Are you in receipt of any of the following:</w:t>
            </w:r>
          </w:p>
          <w:p w14:paraId="673EC5F9" w14:textId="77777777" w:rsidR="002F5A4F" w:rsidRPr="002F5A4F" w:rsidRDefault="002F5A4F" w:rsidP="002F5A4F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Universal Credit</w:t>
            </w:r>
          </w:p>
          <w:p w14:paraId="6E3DD0F3" w14:textId="77777777" w:rsidR="002F5A4F" w:rsidRPr="002F5A4F" w:rsidRDefault="002F5A4F" w:rsidP="002F5A4F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Child Tax Credit</w:t>
            </w:r>
          </w:p>
          <w:p w14:paraId="5485DEE8" w14:textId="77777777" w:rsidR="002F5A4F" w:rsidRPr="002F5A4F" w:rsidRDefault="002F5A4F" w:rsidP="002F5A4F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Working Tax Credit</w:t>
            </w:r>
          </w:p>
          <w:p w14:paraId="2EC54206" w14:textId="77777777" w:rsidR="002F5A4F" w:rsidRPr="002F5A4F" w:rsidRDefault="002F5A4F" w:rsidP="002F5A4F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Income-based Jobseeker’s Allowance</w:t>
            </w:r>
          </w:p>
          <w:p w14:paraId="6082AE8E" w14:textId="77777777" w:rsidR="002F5A4F" w:rsidRPr="002F5A4F" w:rsidRDefault="002F5A4F" w:rsidP="002F5A4F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Income Related Employment Support Allowance</w:t>
            </w:r>
          </w:p>
          <w:p w14:paraId="106F5747" w14:textId="77777777" w:rsidR="002F5A4F" w:rsidRPr="002F5A4F" w:rsidRDefault="002F5A4F" w:rsidP="002F5A4F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Income Support</w:t>
            </w:r>
          </w:p>
          <w:p w14:paraId="1A740288" w14:textId="77777777" w:rsidR="002F5A4F" w:rsidRPr="002F5A4F" w:rsidRDefault="002F5A4F" w:rsidP="002F5A4F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Housing Benefit</w:t>
            </w:r>
          </w:p>
          <w:p w14:paraId="65B83FC0" w14:textId="77777777" w:rsidR="002F5A4F" w:rsidRPr="00430270" w:rsidRDefault="002F5A4F" w:rsidP="002F5A4F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Pension Credit</w:t>
            </w:r>
          </w:p>
          <w:p w14:paraId="1024BD33" w14:textId="77777777" w:rsidR="00430270" w:rsidRDefault="00430270" w:rsidP="00430270">
            <w:pPr>
              <w:pStyle w:val="ListParagraph"/>
              <w:rPr>
                <w:rFonts w:ascii="Avenir Next LT Pro" w:hAnsi="Avenir Next LT Pro" w:cs="Avenir Regular"/>
              </w:rPr>
            </w:pPr>
          </w:p>
          <w:p w14:paraId="09D09A05" w14:textId="3E2D9158" w:rsidR="00430270" w:rsidRPr="00430270" w:rsidRDefault="00430270" w:rsidP="00430270">
            <w:pPr>
              <w:rPr>
                <w:rFonts w:ascii="Avenir Next LT Pro" w:hAnsi="Avenir Next LT Pro"/>
                <w:sz w:val="22"/>
                <w:szCs w:val="22"/>
              </w:rPr>
            </w:pPr>
            <w:r w:rsidRPr="00430270">
              <w:rPr>
                <w:rFonts w:ascii="Avenir Next LT Pro" w:hAnsi="Avenir Next LT Pro"/>
                <w:sz w:val="22"/>
                <w:szCs w:val="22"/>
              </w:rPr>
              <w:t>If you do not fit the criteria and would like to chat to us. Please email Reach@reach.org.uk</w:t>
            </w:r>
          </w:p>
        </w:tc>
      </w:tr>
    </w:tbl>
    <w:p w14:paraId="0AB93767" w14:textId="784D77D8" w:rsidR="00A4660D" w:rsidRDefault="00A4660D"/>
    <w:p w14:paraId="4A7EBD51" w14:textId="77777777" w:rsidR="00304FC9" w:rsidRDefault="00304FC9"/>
    <w:p w14:paraId="3B066D67" w14:textId="631369A7" w:rsidR="00304FC9" w:rsidRPr="00430270" w:rsidRDefault="00304FC9">
      <w:pPr>
        <w:rPr>
          <w:rFonts w:ascii="Avenir Next LT Pro" w:hAnsi="Avenir Next LT Pro" w:cs="Arial"/>
          <w:b/>
          <w:bCs/>
          <w:sz w:val="36"/>
          <w:szCs w:val="36"/>
        </w:rPr>
      </w:pPr>
      <w:r w:rsidRPr="00430270">
        <w:rPr>
          <w:rFonts w:ascii="Avenir Next LT Pro" w:hAnsi="Avenir Next LT Pro" w:cs="Arial"/>
          <w:b/>
          <w:bCs/>
          <w:sz w:val="36"/>
          <w:szCs w:val="36"/>
        </w:rPr>
        <w:t>Reach Activity Bursary</w:t>
      </w:r>
    </w:p>
    <w:p w14:paraId="6E2BD1F6" w14:textId="77777777" w:rsidR="00043464" w:rsidRDefault="00043464">
      <w:pPr>
        <w:rPr>
          <w:rFonts w:ascii="Avenir Next LT Pro" w:hAnsi="Avenir Next LT Pro" w:cs="Arial"/>
          <w:sz w:val="36"/>
          <w:szCs w:val="36"/>
        </w:rPr>
      </w:pPr>
    </w:p>
    <w:p w14:paraId="2A7A6388" w14:textId="77777777" w:rsidR="00043464" w:rsidRDefault="00043464">
      <w:pPr>
        <w:rPr>
          <w:rFonts w:ascii="Avenir Next LT Pro" w:hAnsi="Avenir Next LT Pro" w:cs="Arial"/>
          <w:sz w:val="36"/>
          <w:szCs w:val="36"/>
        </w:rPr>
      </w:pPr>
    </w:p>
    <w:p w14:paraId="73BDF339" w14:textId="77777777" w:rsidR="00043464" w:rsidRDefault="00043464">
      <w:pPr>
        <w:rPr>
          <w:rFonts w:ascii="Avenir Next LT Pro" w:hAnsi="Avenir Next LT Pro" w:cs="Arial"/>
          <w:sz w:val="36"/>
          <w:szCs w:val="36"/>
        </w:rPr>
      </w:pPr>
    </w:p>
    <w:p w14:paraId="0EA7C25B" w14:textId="77777777" w:rsidR="00043464" w:rsidRDefault="00043464">
      <w:pPr>
        <w:rPr>
          <w:rFonts w:ascii="Avenir Next LT Pro" w:hAnsi="Avenir Next LT Pro" w:cs="Arial"/>
          <w:sz w:val="36"/>
          <w:szCs w:val="36"/>
        </w:rPr>
      </w:pPr>
    </w:p>
    <w:p w14:paraId="53E3529F" w14:textId="77777777" w:rsidR="00043464" w:rsidRPr="006E57F7" w:rsidRDefault="00043464" w:rsidP="00043464">
      <w:pPr>
        <w:rPr>
          <w:rFonts w:ascii="Avenir Next LT Pro" w:hAnsi="Avenir Next LT Pro" w:cs="Arial"/>
          <w:b/>
          <w:bCs/>
          <w:sz w:val="36"/>
          <w:szCs w:val="36"/>
        </w:rPr>
      </w:pPr>
      <w:r w:rsidRPr="006E57F7">
        <w:rPr>
          <w:rFonts w:ascii="Avenir Next LT Pro" w:hAnsi="Avenir Next LT Pro" w:cs="Arial"/>
          <w:b/>
          <w:bCs/>
          <w:sz w:val="36"/>
          <w:szCs w:val="36"/>
        </w:rPr>
        <w:t>Terms &amp; Conditions</w:t>
      </w:r>
    </w:p>
    <w:p w14:paraId="52E5744E" w14:textId="77777777" w:rsidR="00043464" w:rsidRPr="006E57F7" w:rsidRDefault="00043464" w:rsidP="00043464">
      <w:pPr>
        <w:rPr>
          <w:rFonts w:ascii="Avenir Next LT Pro" w:hAnsi="Avenir Next LT Pro" w:cs="Arial"/>
          <w:sz w:val="36"/>
          <w:szCs w:val="36"/>
        </w:rPr>
      </w:pPr>
    </w:p>
    <w:p w14:paraId="47ABA64F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 xml:space="preserve">The Bursary Panels decision is final. </w:t>
      </w:r>
    </w:p>
    <w:p w14:paraId="1F17F39A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hAnsi="Avenir Next LT Pro" w:cs="Avenir Regular"/>
        </w:rPr>
        <w:t xml:space="preserve">The Panel meet four times a year to discuss Bursary Applications (see website for dates) </w:t>
      </w:r>
    </w:p>
    <w:p w14:paraId="74E918AF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hAnsi="Avenir Next LT Pro" w:cs="Avenir Regular"/>
        </w:rPr>
        <w:t xml:space="preserve">Please ensure to get your application to us in plenty of time in case the panel would like more information ahead of the meeting to help them decide. </w:t>
      </w:r>
    </w:p>
    <w:p w14:paraId="2D64E531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hAnsi="Avenir Next LT Pro" w:cs="Avenir Regular"/>
        </w:rPr>
        <w:t xml:space="preserve">Deadline for applications: Two weeks prior to Bursary Panel Meetings. </w:t>
      </w:r>
    </w:p>
    <w:p w14:paraId="12B946C5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>Successful applicants will be expected to report back to Reach immediately the grant has been spent, please supply a progress report and photos to celebrate and help promote the bursary to other members.</w:t>
      </w:r>
    </w:p>
    <w:p w14:paraId="68DCAF5B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>Grants will usually be paid by cheque, BACS, or a 3</w:t>
      </w:r>
      <w:r w:rsidRPr="006E57F7">
        <w:rPr>
          <w:rFonts w:ascii="Avenir Next LT Pro" w:eastAsia="Arial" w:hAnsi="Avenir Next LT Pro" w:cs="Avenir Regular"/>
          <w:vertAlign w:val="superscript"/>
        </w:rPr>
        <w:t>rd</w:t>
      </w:r>
      <w:r w:rsidRPr="006E57F7">
        <w:rPr>
          <w:rFonts w:ascii="Avenir Next LT Pro" w:eastAsia="Arial" w:hAnsi="Avenir Next LT Pro" w:cs="Avenir Regular"/>
        </w:rPr>
        <w:t xml:space="preserve"> party via invoice.  Proof of expenditure will be required. </w:t>
      </w:r>
    </w:p>
    <w:p w14:paraId="7540344F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eastAsia="Arial Unicode MS" w:hAnsi="Avenir Next LT Pro" w:cs="Avenir Regular"/>
        </w:rPr>
      </w:pPr>
      <w:r w:rsidRPr="006E57F7">
        <w:rPr>
          <w:rFonts w:ascii="Avenir Next LT Pro" w:eastAsia="Arial Unicode MS" w:hAnsi="Avenir Next LT Pro" w:cs="Avenir Regular"/>
        </w:rPr>
        <w:lastRenderedPageBreak/>
        <w:t>It is unlikely that 100% of the amount request will be awarded, please ensure you can meet the remainder of the costs and explain how in section 4.</w:t>
      </w:r>
    </w:p>
    <w:p w14:paraId="3B23BD60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eastAsia="Calibri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 xml:space="preserve">The grant should usually be spent within 6 months of receipt. </w:t>
      </w:r>
    </w:p>
    <w:p w14:paraId="6524DD52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 xml:space="preserve">The grant is not transferrable and must be used for the purpose stated in the application. </w:t>
      </w:r>
    </w:p>
    <w:p w14:paraId="524B7DA3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>Publicity is not a requirement of the grant but applicants who are happy for Reach to use them in publicity or undertake their own publicity mentioning Reach are very welcome.</w:t>
      </w:r>
    </w:p>
    <w:p w14:paraId="351FB0CE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 xml:space="preserve">The Bursary Panel may direct applications to other grant giving bodies if they are deemed to be more suitable. </w:t>
      </w:r>
    </w:p>
    <w:p w14:paraId="1BCE9978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>Applications are only accepted from current members of Reach, with at least 1 year’s membership.</w:t>
      </w:r>
    </w:p>
    <w:p w14:paraId="5FE240C5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 xml:space="preserve">Thank you for applying, please send your completed form to the address below or email to </w:t>
      </w:r>
      <w:hyperlink r:id="rId10" w:history="1">
        <w:r w:rsidRPr="006E57F7">
          <w:rPr>
            <w:rStyle w:val="Hyperlink"/>
            <w:rFonts w:ascii="Avenir Next LT Pro" w:eastAsia="Arial" w:hAnsi="Avenir Next LT Pro" w:cs="Avenir Regular"/>
          </w:rPr>
          <w:t>reach@reach.org.uk</w:t>
        </w:r>
      </w:hyperlink>
    </w:p>
    <w:p w14:paraId="78F46C15" w14:textId="77777777" w:rsidR="00043464" w:rsidRPr="00304FC9" w:rsidRDefault="00043464">
      <w:pPr>
        <w:rPr>
          <w:rFonts w:ascii="Avenir Next LT Pro" w:hAnsi="Avenir Next LT Pro" w:cs="Arial"/>
          <w:sz w:val="36"/>
          <w:szCs w:val="36"/>
        </w:rPr>
      </w:pPr>
    </w:p>
    <w:sectPr w:rsidR="00043464" w:rsidRPr="00304FC9" w:rsidSect="00595A0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26A84" w14:textId="77777777" w:rsidR="0039054C" w:rsidRDefault="0039054C" w:rsidP="002F5A4F">
      <w:r>
        <w:separator/>
      </w:r>
    </w:p>
  </w:endnote>
  <w:endnote w:type="continuationSeparator" w:id="0">
    <w:p w14:paraId="7297B53F" w14:textId="77777777" w:rsidR="0039054C" w:rsidRDefault="0039054C" w:rsidP="002F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Regular">
    <w:altName w:val="Aria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global">
    <w:panose1 w:val="02000800000000000000"/>
    <w:charset w:val="00"/>
    <w:family w:val="auto"/>
    <w:pitch w:val="variable"/>
    <w:sig w:usb0="800002A7" w:usb1="5000004A" w:usb2="00000000" w:usb3="00000000" w:csb0="0000001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A389" w14:textId="5B3CC366" w:rsidR="00304FC9" w:rsidRPr="005D20F1" w:rsidRDefault="00304FC9" w:rsidP="005D20F1">
    <w:pPr>
      <w:rPr>
        <w:rFonts w:ascii="Aptos" w:hAnsi="Aptos"/>
        <w:color w:val="000000"/>
        <w:sz w:val="18"/>
        <w:szCs w:val="18"/>
      </w:rPr>
    </w:pPr>
    <w:r w:rsidRPr="005D20F1">
      <w:rPr>
        <w:rFonts w:ascii="Avenir Next LT Pro" w:hAnsi="Avenir Next LT Pro"/>
        <w:color w:val="000000"/>
        <w:sz w:val="18"/>
        <w:szCs w:val="18"/>
      </w:rPr>
      <w:t>Reach Charity Ltd Company Limited By Guarantee. Registered In England. Registered Office.</w:t>
    </w:r>
    <w:r w:rsidR="005D20F1" w:rsidRPr="005D20F1">
      <w:rPr>
        <w:rFonts w:ascii="Avenir Next LT Pro" w:hAnsi="Avenir Next LT Pro"/>
        <w:color w:val="000000"/>
        <w:sz w:val="18"/>
        <w:szCs w:val="18"/>
      </w:rPr>
      <w:t xml:space="preserve"> </w:t>
    </w:r>
    <w:r w:rsidR="005D20F1" w:rsidRPr="005D20F1">
      <w:rPr>
        <w:rFonts w:ascii="Avenir Next LT Pro" w:hAnsi="Avenir Next LT Pro"/>
        <w:color w:val="000000"/>
        <w:sz w:val="18"/>
        <w:szCs w:val="18"/>
      </w:rPr>
      <w:t>Office No 4, The Library Rooms, 1st Floor, 59 High Street, Totnes, TQ9 5PB</w:t>
    </w:r>
    <w:r w:rsidRPr="005D20F1">
      <w:rPr>
        <w:rFonts w:ascii="Avenir Next LT Pro" w:hAnsi="Avenir Next LT Pro"/>
        <w:color w:val="000000"/>
        <w:sz w:val="18"/>
        <w:szCs w:val="18"/>
      </w:rPr>
      <w:t>. Registration No. 07054164 | Registered Charity In England &amp; Wales No. 1134544 | Registered Charity In Scotland No. Sc049805</w:t>
    </w:r>
  </w:p>
  <w:p w14:paraId="692C0B0A" w14:textId="7D669F27" w:rsidR="002F5A4F" w:rsidRPr="00304FC9" w:rsidRDefault="002F5A4F" w:rsidP="00304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B368E" w14:textId="77777777" w:rsidR="0039054C" w:rsidRDefault="0039054C" w:rsidP="002F5A4F">
      <w:r>
        <w:separator/>
      </w:r>
    </w:p>
  </w:footnote>
  <w:footnote w:type="continuationSeparator" w:id="0">
    <w:p w14:paraId="5977C569" w14:textId="77777777" w:rsidR="0039054C" w:rsidRDefault="0039054C" w:rsidP="002F5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112FC" w14:textId="7A778BC0" w:rsidR="002F5A4F" w:rsidRPr="002F5A4F" w:rsidRDefault="002F5A4F" w:rsidP="002F5A4F">
    <w:pPr>
      <w:rPr>
        <w:rFonts w:ascii="inglobal" w:hAnsi="inglobal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D5DC22" wp14:editId="3A88FB6B">
          <wp:simplePos x="0" y="0"/>
          <wp:positionH relativeFrom="column">
            <wp:posOffset>4284980</wp:posOffset>
          </wp:positionH>
          <wp:positionV relativeFrom="paragraph">
            <wp:posOffset>-449580</wp:posOffset>
          </wp:positionV>
          <wp:extent cx="1924685" cy="1339850"/>
          <wp:effectExtent l="0" t="0" r="0" b="0"/>
          <wp:wrapTight wrapText="bothSides">
            <wp:wrapPolygon edited="0">
              <wp:start x="0" y="0"/>
              <wp:lineTo x="0" y="21191"/>
              <wp:lineTo x="21379" y="21191"/>
              <wp:lineTo x="21379" y="0"/>
              <wp:lineTo x="0" y="0"/>
            </wp:wrapPolygon>
          </wp:wrapTight>
          <wp:docPr id="635737258" name="Picture 1" descr="A logo with orange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737258" name="Picture 1" descr="A logo with orange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133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A4F">
      <w:rPr>
        <w:rFonts w:ascii="inglobal" w:hAnsi="inglobal"/>
        <w:sz w:val="44"/>
        <w:szCs w:val="44"/>
      </w:rPr>
      <w:t xml:space="preserve"> </w:t>
    </w:r>
  </w:p>
  <w:p w14:paraId="4B52F3FD" w14:textId="163A0C9F" w:rsidR="002F5A4F" w:rsidRPr="002F5A4F" w:rsidRDefault="002F5A4F" w:rsidP="002F5A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845C4"/>
    <w:multiLevelType w:val="hybridMultilevel"/>
    <w:tmpl w:val="838C11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19E8"/>
    <w:multiLevelType w:val="hybridMultilevel"/>
    <w:tmpl w:val="33E0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2259"/>
    <w:multiLevelType w:val="hybridMultilevel"/>
    <w:tmpl w:val="9B0A4D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67FAD"/>
    <w:multiLevelType w:val="hybridMultilevel"/>
    <w:tmpl w:val="EC6A4C34"/>
    <w:lvl w:ilvl="0" w:tplc="AAD6436C">
      <w:start w:val="12"/>
      <w:numFmt w:val="bullet"/>
      <w:lvlText w:val="-"/>
      <w:lvlJc w:val="left"/>
      <w:pPr>
        <w:ind w:left="720" w:hanging="360"/>
      </w:pPr>
      <w:rPr>
        <w:rFonts w:ascii="Avenir Next LT Pro" w:eastAsia="Avenir Next LT Pro" w:hAnsi="Avenir Next LT Pro" w:cs="Avenir Next LT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D50B1"/>
    <w:multiLevelType w:val="hybridMultilevel"/>
    <w:tmpl w:val="091A9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918745">
    <w:abstractNumId w:val="1"/>
  </w:num>
  <w:num w:numId="2" w16cid:durableId="1841311128">
    <w:abstractNumId w:val="2"/>
  </w:num>
  <w:num w:numId="3" w16cid:durableId="721758785">
    <w:abstractNumId w:val="0"/>
  </w:num>
  <w:num w:numId="4" w16cid:durableId="1674067272">
    <w:abstractNumId w:val="3"/>
  </w:num>
  <w:num w:numId="5" w16cid:durableId="767043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4F"/>
    <w:rsid w:val="00043464"/>
    <w:rsid w:val="00061989"/>
    <w:rsid w:val="000D5E57"/>
    <w:rsid w:val="000F6076"/>
    <w:rsid w:val="00100B23"/>
    <w:rsid w:val="00104182"/>
    <w:rsid w:val="001657C5"/>
    <w:rsid w:val="00201503"/>
    <w:rsid w:val="00271F5C"/>
    <w:rsid w:val="002F5A4F"/>
    <w:rsid w:val="00304FC9"/>
    <w:rsid w:val="0039054C"/>
    <w:rsid w:val="003E0BB2"/>
    <w:rsid w:val="00415FE3"/>
    <w:rsid w:val="00430270"/>
    <w:rsid w:val="00595A06"/>
    <w:rsid w:val="005D20F1"/>
    <w:rsid w:val="00603670"/>
    <w:rsid w:val="00731E54"/>
    <w:rsid w:val="00756E50"/>
    <w:rsid w:val="009F02A6"/>
    <w:rsid w:val="00A03B4E"/>
    <w:rsid w:val="00A10949"/>
    <w:rsid w:val="00A27C2F"/>
    <w:rsid w:val="00A4660D"/>
    <w:rsid w:val="00AE498C"/>
    <w:rsid w:val="00AF1C41"/>
    <w:rsid w:val="00B43191"/>
    <w:rsid w:val="00B90C74"/>
    <w:rsid w:val="00BC46CF"/>
    <w:rsid w:val="00D00A06"/>
    <w:rsid w:val="00D67CF8"/>
    <w:rsid w:val="00E41EF9"/>
    <w:rsid w:val="00F001FE"/>
    <w:rsid w:val="00F4732A"/>
    <w:rsid w:val="00FA6842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D26E8"/>
  <w15:chartTrackingRefBased/>
  <w15:docId w15:val="{34B15433-898A-4F25-9F4A-729D3BBF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A4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A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A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A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A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A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A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A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A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A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A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A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5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A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5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A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5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A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5A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F5A4F"/>
  </w:style>
  <w:style w:type="paragraph" w:styleId="Footer">
    <w:name w:val="footer"/>
    <w:basedOn w:val="Normal"/>
    <w:link w:val="FooterChar"/>
    <w:uiPriority w:val="99"/>
    <w:unhideWhenUsed/>
    <w:rsid w:val="002F5A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F5A4F"/>
  </w:style>
  <w:style w:type="paragraph" w:customStyle="1" w:styleId="xmsonormal">
    <w:name w:val="x_msonormal"/>
    <w:basedOn w:val="Normal"/>
    <w:rsid w:val="00304FC9"/>
    <w:rPr>
      <w:rFonts w:ascii="Calibri" w:eastAsiaTheme="minorHAns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434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ach@reach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794F5B3228E41870F872E16C74977" ma:contentTypeVersion="15" ma:contentTypeDescription="Create a new document." ma:contentTypeScope="" ma:versionID="86d91d96fc54c217811714e49bf677bb">
  <xsd:schema xmlns:xsd="http://www.w3.org/2001/XMLSchema" xmlns:xs="http://www.w3.org/2001/XMLSchema" xmlns:p="http://schemas.microsoft.com/office/2006/metadata/properties" xmlns:ns2="784d5452-a02a-45d5-9d90-8557c42fc86d" xmlns:ns3="d3bee841-1cd2-4529-82e0-3f3b49a335c3" targetNamespace="http://schemas.microsoft.com/office/2006/metadata/properties" ma:root="true" ma:fieldsID="d1535c742cc35f647245b80df738b62c" ns2:_="" ns3:_="">
    <xsd:import namespace="784d5452-a02a-45d5-9d90-8557c42fc86d"/>
    <xsd:import namespace="d3bee841-1cd2-4529-82e0-3f3b49a33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5452-a02a-45d5-9d90-8557c42fc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35eb3d-6433-4380-8454-027756fe1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ee841-1cd2-4529-82e0-3f3b49a33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a46917-7e91-47da-8797-d26357242785}" ma:internalName="TaxCatchAll" ma:showField="CatchAllData" ma:web="d3bee841-1cd2-4529-82e0-3f3b49a33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bee841-1cd2-4529-82e0-3f3b49a335c3"/>
    <lcf76f155ced4ddcb4097134ff3c332f xmlns="784d5452-a02a-45d5-9d90-8557c42fc8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9AA17E-FABC-41B4-921F-B48C93F40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d5452-a02a-45d5-9d90-8557c42fc86d"/>
    <ds:schemaRef ds:uri="d3bee841-1cd2-4529-82e0-3f3b49a33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1AB22-A0B6-45D7-A2D7-D9002D1EB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5BED4-59D4-4259-8723-F07FF8A5B86F}">
  <ds:schemaRefs>
    <ds:schemaRef ds:uri="http://schemas.microsoft.com/office/2006/metadata/properties"/>
    <ds:schemaRef ds:uri="http://schemas.microsoft.com/office/infopath/2007/PartnerControls"/>
    <ds:schemaRef ds:uri="d3bee841-1cd2-4529-82e0-3f3b49a335c3"/>
    <ds:schemaRef ds:uri="784d5452-a02a-45d5-9d90-8557c42fc8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Blackburn</dc:creator>
  <cp:keywords/>
  <dc:description/>
  <cp:lastModifiedBy>Ashley Blackburn</cp:lastModifiedBy>
  <cp:revision>5</cp:revision>
  <dcterms:created xsi:type="dcterms:W3CDTF">2024-02-07T13:52:00Z</dcterms:created>
  <dcterms:modified xsi:type="dcterms:W3CDTF">2024-07-30T16:54:00Z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0x0101008AC794F5B3228E41870F872E16C74977</vt:lpwstr>
  </property>
</Properties>
</file>